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49" w:rsidRDefault="0071413A">
      <w:pPr>
        <w:rPr>
          <w:rFonts w:ascii="仿宋" w:eastAsia="仿宋" w:hAnsi="仿宋"/>
          <w:sz w:val="32"/>
        </w:rPr>
      </w:pPr>
      <w:r>
        <w:rPr>
          <w:rFonts w:ascii="仿宋" w:eastAsia="仿宋" w:hAnsi="仿宋" w:hint="eastAsia"/>
          <w:sz w:val="32"/>
        </w:rPr>
        <w:t>附件一</w:t>
      </w:r>
    </w:p>
    <w:p w:rsidR="000866CC" w:rsidRDefault="000866CC" w:rsidP="000866CC">
      <w:pPr>
        <w:jc w:val="center"/>
        <w:rPr>
          <w:rFonts w:ascii="仿宋" w:eastAsia="仿宋" w:hAnsi="仿宋"/>
          <w:sz w:val="32"/>
        </w:rPr>
      </w:pPr>
      <w:r>
        <w:rPr>
          <w:rFonts w:ascii="Times New Roman" w:eastAsia="黑体" w:hAnsi="Times New Roman" w:cs="Times New Roman" w:hint="eastAsia"/>
          <w:b/>
          <w:sz w:val="28"/>
          <w:szCs w:val="21"/>
        </w:rPr>
        <w:t>2018</w:t>
      </w:r>
      <w:r>
        <w:rPr>
          <w:rFonts w:ascii="Times New Roman" w:eastAsia="黑体" w:hAnsi="Times New Roman" w:cs="Times New Roman" w:hint="eastAsia"/>
          <w:b/>
          <w:sz w:val="28"/>
          <w:szCs w:val="21"/>
        </w:rPr>
        <w:t>年度公路工程技术标准制修订计划清单</w:t>
      </w:r>
    </w:p>
    <w:tbl>
      <w:tblPr>
        <w:tblStyle w:val="a9"/>
        <w:tblW w:w="9066" w:type="dxa"/>
        <w:jc w:val="center"/>
        <w:tblLayout w:type="fixed"/>
        <w:tblLook w:val="04A0" w:firstRow="1" w:lastRow="0" w:firstColumn="1" w:lastColumn="0" w:noHBand="0" w:noVBand="1"/>
      </w:tblPr>
      <w:tblGrid>
        <w:gridCol w:w="805"/>
        <w:gridCol w:w="3391"/>
        <w:gridCol w:w="851"/>
        <w:gridCol w:w="4019"/>
      </w:tblGrid>
      <w:tr w:rsidR="00977749" w:rsidTr="000866CC">
        <w:trPr>
          <w:trHeight w:val="398"/>
          <w:tblHeader/>
          <w:jc w:val="center"/>
        </w:trPr>
        <w:tc>
          <w:tcPr>
            <w:tcW w:w="805" w:type="dxa"/>
            <w:tcBorders>
              <w:top w:val="single" w:sz="4" w:space="0" w:color="auto"/>
            </w:tcBorders>
            <w:vAlign w:val="center"/>
          </w:tcPr>
          <w:p w:rsidR="00977749" w:rsidRDefault="0071413A" w:rsidP="0050633C">
            <w:pPr>
              <w:spacing w:line="360" w:lineRule="auto"/>
              <w:jc w:val="center"/>
              <w:rPr>
                <w:rFonts w:ascii="Times New Roman" w:hAnsi="Times New Roman" w:cs="Times New Roman"/>
                <w:b/>
                <w:szCs w:val="21"/>
              </w:rPr>
            </w:pPr>
            <w:r>
              <w:rPr>
                <w:rFonts w:ascii="Times New Roman" w:hAnsi="Times New Roman" w:cs="Times New Roman"/>
                <w:b/>
                <w:szCs w:val="21"/>
              </w:rPr>
              <w:t>序号</w:t>
            </w:r>
          </w:p>
        </w:tc>
        <w:tc>
          <w:tcPr>
            <w:tcW w:w="3391" w:type="dxa"/>
            <w:tcBorders>
              <w:top w:val="single" w:sz="4" w:space="0" w:color="auto"/>
            </w:tcBorders>
            <w:vAlign w:val="center"/>
          </w:tcPr>
          <w:p w:rsidR="00977749" w:rsidRDefault="0071413A" w:rsidP="0050633C">
            <w:pPr>
              <w:spacing w:line="360" w:lineRule="auto"/>
              <w:jc w:val="center"/>
              <w:rPr>
                <w:rFonts w:ascii="Times New Roman" w:hAnsi="Times New Roman" w:cs="Times New Roman"/>
                <w:b/>
                <w:szCs w:val="21"/>
              </w:rPr>
            </w:pPr>
            <w:r>
              <w:rPr>
                <w:rFonts w:ascii="Times New Roman" w:hAnsi="Times New Roman" w:cs="Times New Roman"/>
                <w:b/>
                <w:szCs w:val="21"/>
              </w:rPr>
              <w:t>项目名称</w:t>
            </w:r>
          </w:p>
        </w:tc>
        <w:tc>
          <w:tcPr>
            <w:tcW w:w="851" w:type="dxa"/>
            <w:tcBorders>
              <w:top w:val="single" w:sz="4" w:space="0" w:color="auto"/>
            </w:tcBorders>
            <w:vAlign w:val="center"/>
          </w:tcPr>
          <w:p w:rsidR="00977749" w:rsidRDefault="0071413A" w:rsidP="0050633C">
            <w:pPr>
              <w:spacing w:line="360" w:lineRule="auto"/>
              <w:jc w:val="center"/>
              <w:rPr>
                <w:rFonts w:ascii="Times New Roman" w:hAnsi="Times New Roman" w:cs="Times New Roman"/>
                <w:b/>
                <w:szCs w:val="21"/>
              </w:rPr>
            </w:pPr>
            <w:r>
              <w:rPr>
                <w:rFonts w:ascii="Times New Roman" w:hAnsi="Times New Roman" w:cs="Times New Roman"/>
                <w:b/>
                <w:szCs w:val="21"/>
              </w:rPr>
              <w:t>制修订</w:t>
            </w:r>
          </w:p>
        </w:tc>
        <w:tc>
          <w:tcPr>
            <w:tcW w:w="4019" w:type="dxa"/>
            <w:tcBorders>
              <w:top w:val="single" w:sz="4" w:space="0" w:color="auto"/>
            </w:tcBorders>
            <w:vAlign w:val="center"/>
          </w:tcPr>
          <w:p w:rsidR="00977749" w:rsidRDefault="0071413A" w:rsidP="0050633C">
            <w:pPr>
              <w:spacing w:line="360" w:lineRule="auto"/>
              <w:jc w:val="center"/>
              <w:rPr>
                <w:rFonts w:ascii="Times New Roman" w:hAnsi="Times New Roman" w:cs="Times New Roman"/>
                <w:b/>
                <w:szCs w:val="21"/>
              </w:rPr>
            </w:pPr>
            <w:r>
              <w:rPr>
                <w:rFonts w:ascii="Times New Roman" w:hAnsi="Times New Roman" w:cs="Times New Roman"/>
                <w:b/>
                <w:szCs w:val="21"/>
              </w:rPr>
              <w:t>项目</w:t>
            </w:r>
            <w:r w:rsidR="000866CC">
              <w:rPr>
                <w:rFonts w:ascii="Times New Roman" w:hAnsi="Times New Roman" w:cs="Times New Roman" w:hint="eastAsia"/>
                <w:b/>
                <w:szCs w:val="21"/>
              </w:rPr>
              <w:t>说明</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公路工程行业标准制修订管理导则</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修订</w:t>
            </w:r>
          </w:p>
        </w:tc>
        <w:tc>
          <w:tcPr>
            <w:tcW w:w="4019" w:type="dxa"/>
            <w:shd w:val="clear" w:color="auto" w:fill="auto"/>
            <w:vAlign w:val="center"/>
          </w:tcPr>
          <w:p w:rsidR="00977749" w:rsidRDefault="0071413A">
            <w:pPr>
              <w:rPr>
                <w:rFonts w:ascii="Times New Roman" w:hAnsi="Times New Roman" w:cs="Times New Roman"/>
                <w:szCs w:val="21"/>
              </w:rPr>
            </w:pPr>
            <w:r>
              <w:rPr>
                <w:rFonts w:ascii="Times New Roman" w:hAnsi="Times New Roman" w:cs="Times New Roman" w:hint="eastAsia"/>
                <w:szCs w:val="21"/>
              </w:rPr>
              <w:t>按照部新颁布的有关规定和新的管理要求修订相关内容。</w:t>
            </w:r>
          </w:p>
        </w:tc>
      </w:tr>
      <w:tr w:rsidR="00977749" w:rsidTr="000866CC">
        <w:trPr>
          <w:trHeight w:val="383"/>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公路工程标准编写导则</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修订</w:t>
            </w:r>
          </w:p>
        </w:tc>
        <w:tc>
          <w:tcPr>
            <w:tcW w:w="4019" w:type="dxa"/>
            <w:shd w:val="clear" w:color="auto" w:fill="auto"/>
            <w:vAlign w:val="center"/>
          </w:tcPr>
          <w:p w:rsidR="00977749" w:rsidRDefault="0071413A">
            <w:pPr>
              <w:rPr>
                <w:rFonts w:ascii="Times New Roman" w:hAnsi="Times New Roman" w:cs="Times New Roman"/>
                <w:szCs w:val="21"/>
              </w:rPr>
            </w:pPr>
            <w:r>
              <w:rPr>
                <w:rFonts w:ascii="Times New Roman" w:hAnsi="Times New Roman" w:cs="Times New Roman" w:hint="eastAsia"/>
                <w:szCs w:val="21"/>
              </w:rPr>
              <w:t>按照部新颁布的有关规定和新的使用需求修订相关内容。</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农村公路工程技术标准</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Default="0071413A">
            <w:pPr>
              <w:rPr>
                <w:rFonts w:ascii="Times New Roman" w:hAnsi="Times New Roman" w:cs="Times New Roman"/>
                <w:szCs w:val="21"/>
              </w:rPr>
            </w:pPr>
            <w:r>
              <w:rPr>
                <w:rFonts w:ascii="Times New Roman" w:hAnsi="Times New Roman" w:cs="Times New Roman" w:hint="eastAsia"/>
                <w:szCs w:val="21"/>
              </w:rPr>
              <w:t>本标准是《公路工程技术标准》的补充，主要针对低交通量、车型组成和地形条件复杂的农村公路提出适用指标及标准。</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城镇化地区公路工程技术标准</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Default="0071413A">
            <w:pPr>
              <w:rPr>
                <w:rFonts w:ascii="Times New Roman" w:hAnsi="Times New Roman" w:cs="Times New Roman"/>
                <w:szCs w:val="21"/>
              </w:rPr>
            </w:pPr>
            <w:r>
              <w:rPr>
                <w:rFonts w:ascii="Times New Roman" w:hAnsi="Times New Roman" w:cs="Times New Roman" w:hint="eastAsia"/>
                <w:szCs w:val="21"/>
              </w:rPr>
              <w:t>本标准是《公路工程技术标准》的补充，主要针对交通组成复杂、功能需求多样的城镇地区公路提出适用指标及标准。</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公路生态保护</w:t>
            </w:r>
            <w:r>
              <w:rPr>
                <w:rFonts w:ascii="Times New Roman" w:hAnsi="Times New Roman" w:cs="Times New Roman" w:hint="eastAsia"/>
                <w:szCs w:val="21"/>
              </w:rPr>
              <w:t>与修复</w:t>
            </w:r>
            <w:r>
              <w:rPr>
                <w:rFonts w:ascii="Times New Roman" w:hAnsi="Times New Roman" w:cs="Times New Roman"/>
                <w:szCs w:val="21"/>
              </w:rPr>
              <w:t>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Default="0071413A" w:rsidP="0071413A">
            <w:pPr>
              <w:rPr>
                <w:rFonts w:ascii="Times New Roman" w:hAnsi="Times New Roman" w:cs="Times New Roman"/>
                <w:szCs w:val="21"/>
              </w:rPr>
            </w:pPr>
            <w:r>
              <w:rPr>
                <w:rFonts w:ascii="Times New Roman" w:hAnsi="Times New Roman" w:cs="Times New Roman" w:hint="eastAsia"/>
                <w:szCs w:val="21"/>
              </w:rPr>
              <w:t>提出公路建设、管理、养护、运营所涉及的生态环境保护、工程创面生态修复技术措施、效果评价等。</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橡胶沥青路面技术规范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Default="0071413A">
            <w:pPr>
              <w:rPr>
                <w:rFonts w:ascii="Times New Roman" w:hAnsi="Times New Roman" w:cs="Times New Roman"/>
                <w:szCs w:val="21"/>
              </w:rPr>
            </w:pPr>
            <w:r>
              <w:rPr>
                <w:rFonts w:ascii="Times New Roman" w:hAnsi="Times New Roman" w:cs="Times New Roman" w:hint="eastAsia"/>
                <w:szCs w:val="21"/>
              </w:rPr>
              <w:t>针对橡胶沥青路面的设计、施工以及质量检验等各环节统一标准，体现节能环保，废轮胎资源再生利用等技术特性。</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公路信息化技术规范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Default="0071413A">
            <w:pPr>
              <w:rPr>
                <w:rFonts w:ascii="Times New Roman" w:hAnsi="Times New Roman" w:cs="Times New Roman"/>
                <w:szCs w:val="21"/>
              </w:rPr>
            </w:pPr>
            <w:r>
              <w:rPr>
                <w:rFonts w:ascii="Times New Roman" w:hAnsi="Times New Roman" w:cs="Times New Roman" w:hint="eastAsia"/>
                <w:szCs w:val="21"/>
              </w:rPr>
              <w:t>本标准是智慧公路的龙头标准，是公路信息化的整体功能要求和统一规定，提出公路建设、管理、养护、运营各板块信息系统建设主要内容和相互接口。</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公路装配式桥</w:t>
            </w:r>
            <w:proofErr w:type="gramStart"/>
            <w:r>
              <w:rPr>
                <w:rFonts w:ascii="Times New Roman" w:hAnsi="Times New Roman" w:cs="Times New Roman"/>
                <w:szCs w:val="21"/>
              </w:rPr>
              <w:t>梁设计</w:t>
            </w:r>
            <w:proofErr w:type="gramEnd"/>
            <w:r>
              <w:rPr>
                <w:rFonts w:ascii="Times New Roman" w:hAnsi="Times New Roman" w:cs="Times New Roman"/>
                <w:szCs w:val="21"/>
              </w:rPr>
              <w:t>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71413A">
            <w:pPr>
              <w:rPr>
                <w:rFonts w:ascii="Times New Roman" w:hAnsi="Times New Roman" w:cs="Times New Roman"/>
                <w:szCs w:val="21"/>
              </w:rPr>
            </w:pPr>
            <w:r w:rsidRPr="00927D14">
              <w:rPr>
                <w:rFonts w:ascii="Times New Roman" w:hAnsi="Times New Roman" w:cs="Times New Roman" w:hint="eastAsia"/>
                <w:szCs w:val="21"/>
              </w:rPr>
              <w:t>明确装配式桥梁，包括上部结构、下部结构等的设计要求。</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公路装配式桥梁施工技术规范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71413A">
            <w:pPr>
              <w:rPr>
                <w:rFonts w:ascii="Times New Roman" w:hAnsi="Times New Roman" w:cs="Times New Roman"/>
                <w:szCs w:val="21"/>
              </w:rPr>
            </w:pPr>
            <w:r w:rsidRPr="00927D14">
              <w:rPr>
                <w:rFonts w:ascii="Times New Roman" w:hAnsi="Times New Roman" w:cs="Times New Roman" w:hint="eastAsia"/>
                <w:szCs w:val="21"/>
              </w:rPr>
              <w:t>明确装配式桥梁，包括上部结构、下部结构等的施工要求。</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公路水下沉管隧道设计规范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71413A">
            <w:pPr>
              <w:jc w:val="left"/>
              <w:rPr>
                <w:rFonts w:ascii="Times New Roman" w:hAnsi="Times New Roman" w:cs="Times New Roman"/>
                <w:szCs w:val="21"/>
              </w:rPr>
            </w:pPr>
            <w:r w:rsidRPr="00927D14">
              <w:rPr>
                <w:rFonts w:ascii="Times New Roman" w:hAnsi="Times New Roman" w:cs="Times New Roman" w:hint="eastAsia"/>
                <w:szCs w:val="21"/>
              </w:rPr>
              <w:t>编制具有适用性、成熟性、可操作性的标准规范，规范沉管隧道设计。</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公路建设项目竣工决算编制规范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927D14">
            <w:pPr>
              <w:rPr>
                <w:rFonts w:ascii="Times New Roman" w:hAnsi="Times New Roman" w:cs="Times New Roman"/>
                <w:szCs w:val="21"/>
              </w:rPr>
            </w:pPr>
            <w:r w:rsidRPr="00927D14">
              <w:rPr>
                <w:rFonts w:ascii="Times New Roman" w:hAnsi="Times New Roman" w:cs="Times New Roman" w:hint="eastAsia"/>
                <w:szCs w:val="21"/>
              </w:rPr>
              <w:t>对竣工决算的编制、审核、审查等工作内容、标准化表格、质量要求等进行统一，提高竣工决算管理的综合性、全面性、可操作性。</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公路工程安全生产</w:t>
            </w:r>
            <w:proofErr w:type="gramStart"/>
            <w:r>
              <w:rPr>
                <w:rFonts w:ascii="Times New Roman" w:hAnsi="Times New Roman" w:cs="Times New Roman"/>
                <w:szCs w:val="21"/>
              </w:rPr>
              <w:t>费工程</w:t>
            </w:r>
            <w:proofErr w:type="gramEnd"/>
            <w:r>
              <w:rPr>
                <w:rFonts w:ascii="Times New Roman" w:hAnsi="Times New Roman" w:cs="Times New Roman"/>
                <w:szCs w:val="21"/>
              </w:rPr>
              <w:t>量标准清单及计量规范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927D14">
            <w:pPr>
              <w:rPr>
                <w:rFonts w:ascii="Times New Roman" w:hAnsi="Times New Roman" w:cs="Times New Roman"/>
                <w:szCs w:val="21"/>
              </w:rPr>
            </w:pPr>
            <w:r w:rsidRPr="00927D14">
              <w:rPr>
                <w:rFonts w:ascii="Times New Roman" w:hAnsi="Times New Roman" w:cs="Times New Roman" w:hint="eastAsia"/>
                <w:szCs w:val="21"/>
              </w:rPr>
              <w:t>规范安全生产费专项经费使用，明确安全生产工程量清单编制、计量、计价行为等</w:t>
            </w:r>
            <w:r>
              <w:rPr>
                <w:rFonts w:ascii="Times New Roman" w:hAnsi="Times New Roman" w:cs="Times New Roman" w:hint="eastAsia"/>
                <w:szCs w:val="21"/>
              </w:rPr>
              <w:t>。</w:t>
            </w:r>
          </w:p>
        </w:tc>
      </w:tr>
      <w:tr w:rsidR="00977749" w:rsidTr="000866CC">
        <w:trPr>
          <w:trHeight w:val="383"/>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公路路政管理技术规范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Default="0071413A" w:rsidP="00927D14">
            <w:pPr>
              <w:rPr>
                <w:rFonts w:ascii="Times New Roman" w:hAnsi="Times New Roman" w:cs="Times New Roman"/>
                <w:szCs w:val="21"/>
              </w:rPr>
            </w:pPr>
            <w:r w:rsidRPr="00927D14">
              <w:rPr>
                <w:rFonts w:ascii="Times New Roman" w:hAnsi="Times New Roman" w:cs="Times New Roman" w:hint="eastAsia"/>
                <w:szCs w:val="21"/>
              </w:rPr>
              <w:t>规范路政基础管理行为，量化路政基础管理的各项技术指标，增强路政管理的科学性、规范性和公正性，为各级公路管理部门提供技术支撑。</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proofErr w:type="gramStart"/>
            <w:r>
              <w:rPr>
                <w:rFonts w:ascii="Times New Roman" w:hAnsi="Times New Roman" w:cs="Times New Roman"/>
                <w:szCs w:val="21"/>
              </w:rPr>
              <w:t>公路治</w:t>
            </w:r>
            <w:proofErr w:type="gramEnd"/>
            <w:r>
              <w:rPr>
                <w:rFonts w:ascii="Times New Roman" w:hAnsi="Times New Roman" w:cs="Times New Roman"/>
                <w:szCs w:val="21"/>
              </w:rPr>
              <w:t>超信息系统技术规范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Default="0071413A">
            <w:pPr>
              <w:rPr>
                <w:rFonts w:ascii="Times New Roman" w:hAnsi="Times New Roman" w:cs="Times New Roman"/>
                <w:szCs w:val="21"/>
              </w:rPr>
            </w:pPr>
            <w:r w:rsidRPr="00927D14">
              <w:rPr>
                <w:rFonts w:ascii="Times New Roman" w:hAnsi="Times New Roman" w:cs="Times New Roman" w:hint="eastAsia"/>
                <w:szCs w:val="21"/>
              </w:rPr>
              <w:t>提出</w:t>
            </w:r>
            <w:proofErr w:type="gramStart"/>
            <w:r w:rsidRPr="00927D14">
              <w:rPr>
                <w:rFonts w:ascii="Times New Roman" w:hAnsi="Times New Roman" w:cs="Times New Roman" w:hint="eastAsia"/>
                <w:szCs w:val="21"/>
              </w:rPr>
              <w:t>公路治</w:t>
            </w:r>
            <w:proofErr w:type="gramEnd"/>
            <w:r w:rsidRPr="00927D14">
              <w:rPr>
                <w:rFonts w:ascii="Times New Roman" w:hAnsi="Times New Roman" w:cs="Times New Roman" w:hint="eastAsia"/>
                <w:szCs w:val="21"/>
              </w:rPr>
              <w:t>超信息系统平台、通讯协议、数据格式、终端</w:t>
            </w:r>
            <w:r w:rsidR="00927D14">
              <w:rPr>
                <w:rFonts w:ascii="Times New Roman" w:hAnsi="Times New Roman" w:cs="Times New Roman" w:hint="eastAsia"/>
                <w:szCs w:val="21"/>
              </w:rPr>
              <w:t>、跨省互联互通</w:t>
            </w:r>
            <w:r w:rsidRPr="00927D14">
              <w:rPr>
                <w:rFonts w:ascii="Times New Roman" w:hAnsi="Times New Roman" w:cs="Times New Roman" w:hint="eastAsia"/>
                <w:szCs w:val="21"/>
              </w:rPr>
              <w:t>等技术标</w:t>
            </w:r>
            <w:r w:rsidRPr="00927D14">
              <w:rPr>
                <w:rFonts w:ascii="Times New Roman" w:hAnsi="Times New Roman" w:cs="Times New Roman" w:hint="eastAsia"/>
                <w:szCs w:val="21"/>
              </w:rPr>
              <w:lastRenderedPageBreak/>
              <w:t>准和规范。</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rsidP="00927D14">
            <w:pPr>
              <w:jc w:val="left"/>
              <w:rPr>
                <w:rFonts w:ascii="Times New Roman" w:hAnsi="Times New Roman" w:cs="Times New Roman"/>
                <w:szCs w:val="21"/>
              </w:rPr>
            </w:pPr>
            <w:r>
              <w:rPr>
                <w:rFonts w:ascii="Times New Roman" w:hAnsi="Times New Roman" w:cs="Times New Roman"/>
                <w:szCs w:val="21"/>
              </w:rPr>
              <w:t>公路现场勘查记录</w:t>
            </w:r>
            <w:r w:rsidR="00927D14">
              <w:rPr>
                <w:rFonts w:ascii="Times New Roman" w:hAnsi="Times New Roman" w:cs="Times New Roman" w:hint="eastAsia"/>
                <w:szCs w:val="21"/>
              </w:rPr>
              <w:t>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71413A">
            <w:pPr>
              <w:rPr>
                <w:rFonts w:ascii="Times New Roman" w:hAnsi="Times New Roman" w:cs="Times New Roman"/>
                <w:szCs w:val="21"/>
              </w:rPr>
            </w:pPr>
            <w:r w:rsidRPr="00927D14">
              <w:rPr>
                <w:rFonts w:ascii="Times New Roman" w:hAnsi="Times New Roman" w:cs="Times New Roman" w:hint="eastAsia"/>
                <w:szCs w:val="21"/>
              </w:rPr>
              <w:t>执法现场涉及的绘图标准、勘验流程、数据记录等基础性标准。</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公路非现场执法系统技术规范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71413A">
            <w:pPr>
              <w:rPr>
                <w:rFonts w:ascii="Times New Roman" w:hAnsi="Times New Roman" w:cs="Times New Roman"/>
                <w:szCs w:val="21"/>
              </w:rPr>
            </w:pPr>
            <w:r w:rsidRPr="00927D14">
              <w:rPr>
                <w:rFonts w:ascii="Times New Roman" w:hAnsi="Times New Roman" w:cs="Times New Roman" w:hint="eastAsia"/>
                <w:szCs w:val="21"/>
              </w:rPr>
              <w:t>非现场执法涉及的系统建设、平台对接、数据传输与存储等相关技术标准。</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公路养护决策技术规范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71413A" w:rsidP="0050633C">
            <w:pPr>
              <w:rPr>
                <w:rFonts w:ascii="Times New Roman" w:hAnsi="Times New Roman" w:cs="Times New Roman"/>
                <w:szCs w:val="21"/>
              </w:rPr>
            </w:pPr>
            <w:r w:rsidRPr="00927D14">
              <w:rPr>
                <w:rFonts w:ascii="Times New Roman" w:hAnsi="Times New Roman" w:cs="Times New Roman" w:hint="eastAsia"/>
                <w:szCs w:val="21"/>
              </w:rPr>
              <w:t>建立涵盖路基、路面、桥隧、沿线设施等</w:t>
            </w:r>
            <w:r w:rsidR="00D03BBD">
              <w:rPr>
                <w:rFonts w:ascii="Times New Roman" w:hAnsi="Times New Roman" w:cs="Times New Roman" w:hint="eastAsia"/>
                <w:szCs w:val="21"/>
              </w:rPr>
              <w:t>方面的</w:t>
            </w:r>
            <w:bookmarkStart w:id="0" w:name="_GoBack"/>
            <w:bookmarkEnd w:id="0"/>
            <w:r w:rsidRPr="00927D14">
              <w:rPr>
                <w:rFonts w:ascii="Times New Roman" w:hAnsi="Times New Roman" w:cs="Times New Roman" w:hint="eastAsia"/>
                <w:szCs w:val="21"/>
              </w:rPr>
              <w:t>公路养护决策体系，明确公路养护决策指标、决策分析方法、信息管理技术等。</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农村公路养护技术规范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71413A">
            <w:pPr>
              <w:rPr>
                <w:rFonts w:ascii="Times New Roman" w:hAnsi="Times New Roman" w:cs="Times New Roman"/>
                <w:szCs w:val="21"/>
              </w:rPr>
            </w:pPr>
            <w:r w:rsidRPr="00927D14">
              <w:rPr>
                <w:rFonts w:ascii="Times New Roman" w:hAnsi="Times New Roman" w:cs="Times New Roman" w:hint="eastAsia"/>
                <w:szCs w:val="21"/>
              </w:rPr>
              <w:t>针对农村公路分布广、交通流量小等技术特点，提出有针对性的农村公路适用指标及养护标准。</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公路缆索体系结构桥梁养护技术规范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71413A">
            <w:pPr>
              <w:jc w:val="left"/>
              <w:rPr>
                <w:rFonts w:ascii="Times New Roman" w:hAnsi="Times New Roman" w:cs="Times New Roman"/>
                <w:szCs w:val="21"/>
              </w:rPr>
            </w:pPr>
            <w:r w:rsidRPr="00927D14">
              <w:rPr>
                <w:rFonts w:ascii="Times New Roman" w:hAnsi="Times New Roman" w:cs="Times New Roman" w:hint="eastAsia"/>
                <w:szCs w:val="21"/>
              </w:rPr>
              <w:t>针对公路斜拉桥</w:t>
            </w:r>
            <w:r w:rsidRPr="00927D14">
              <w:rPr>
                <w:rFonts w:ascii="Times New Roman" w:hAnsi="Times New Roman" w:cs="Times New Roman" w:hint="eastAsia"/>
                <w:szCs w:val="21"/>
              </w:rPr>
              <w:t>/</w:t>
            </w:r>
            <w:r w:rsidRPr="00927D14">
              <w:rPr>
                <w:rFonts w:ascii="Times New Roman" w:hAnsi="Times New Roman" w:cs="Times New Roman" w:hint="eastAsia"/>
                <w:szCs w:val="21"/>
              </w:rPr>
              <w:t>悬索桥等缆索体系结构桥梁的运营环境、结构特点及运营监测数据情况，建立适用的养护技术体系，有效保证桥梁的长寿命和高性能。</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927D14">
            <w:pPr>
              <w:jc w:val="left"/>
              <w:rPr>
                <w:rFonts w:ascii="Times New Roman" w:hAnsi="Times New Roman" w:cs="Times New Roman"/>
                <w:szCs w:val="21"/>
              </w:rPr>
            </w:pPr>
            <w:r>
              <w:rPr>
                <w:rFonts w:ascii="Times New Roman" w:hAnsi="Times New Roman" w:cs="Times New Roman" w:hint="eastAsia"/>
                <w:szCs w:val="21"/>
              </w:rPr>
              <w:t>公路</w:t>
            </w:r>
            <w:r>
              <w:rPr>
                <w:rFonts w:ascii="Times New Roman" w:hAnsi="Times New Roman" w:cs="Times New Roman"/>
                <w:szCs w:val="21"/>
              </w:rPr>
              <w:t>钢结构桥梁养护技术规范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927D14" w:rsidRDefault="0071413A">
            <w:pPr>
              <w:rPr>
                <w:rFonts w:ascii="宋体" w:hAnsi="宋体" w:cs="宋体"/>
                <w:sz w:val="24"/>
                <w:szCs w:val="24"/>
              </w:rPr>
            </w:pPr>
            <w:r w:rsidRPr="00927D14">
              <w:rPr>
                <w:rFonts w:ascii="宋体" w:hAnsi="宋体" w:cs="宋体" w:hint="eastAsia"/>
                <w:sz w:val="24"/>
                <w:szCs w:val="24"/>
              </w:rPr>
              <w:t>提出钢板梁桥、钢箱梁桥、钢</w:t>
            </w:r>
            <w:proofErr w:type="gramStart"/>
            <w:r w:rsidRPr="00927D14">
              <w:rPr>
                <w:rFonts w:ascii="宋体" w:hAnsi="宋体" w:cs="宋体" w:hint="eastAsia"/>
                <w:sz w:val="24"/>
                <w:szCs w:val="24"/>
              </w:rPr>
              <w:t>桁</w:t>
            </w:r>
            <w:proofErr w:type="gramEnd"/>
            <w:r w:rsidRPr="00927D14">
              <w:rPr>
                <w:rFonts w:ascii="宋体" w:hAnsi="宋体" w:cs="宋体" w:hint="eastAsia"/>
                <w:sz w:val="24"/>
                <w:szCs w:val="24"/>
              </w:rPr>
              <w:t>梁桥、钢拱桥、以及附属设施、钢桥面铺装等的养护标准和规范。</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927D14">
            <w:pPr>
              <w:jc w:val="left"/>
              <w:rPr>
                <w:rFonts w:ascii="Times New Roman" w:hAnsi="Times New Roman" w:cs="Times New Roman"/>
                <w:szCs w:val="21"/>
              </w:rPr>
            </w:pPr>
            <w:r>
              <w:rPr>
                <w:rFonts w:ascii="Times New Roman" w:hAnsi="Times New Roman" w:cs="Times New Roman" w:hint="eastAsia"/>
                <w:szCs w:val="21"/>
              </w:rPr>
              <w:t>公路</w:t>
            </w:r>
            <w:r>
              <w:rPr>
                <w:rFonts w:ascii="Times New Roman" w:hAnsi="Times New Roman" w:cs="Times New Roman"/>
                <w:szCs w:val="21"/>
              </w:rPr>
              <w:t>钢结构桥梁</w:t>
            </w:r>
            <w:r>
              <w:rPr>
                <w:rFonts w:ascii="Times New Roman" w:hAnsi="Times New Roman" w:cs="Times New Roman" w:hint="eastAsia"/>
                <w:szCs w:val="21"/>
              </w:rPr>
              <w:t>工程预算</w:t>
            </w:r>
            <w:r>
              <w:rPr>
                <w:rFonts w:ascii="Times New Roman" w:hAnsi="Times New Roman" w:cs="Times New Roman"/>
                <w:szCs w:val="21"/>
              </w:rPr>
              <w:t>定额</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Default="00927D14" w:rsidP="00927D14">
            <w:pPr>
              <w:jc w:val="left"/>
              <w:rPr>
                <w:rFonts w:ascii="Times New Roman" w:hAnsi="Times New Roman" w:cs="Times New Roman"/>
                <w:color w:val="FF0000"/>
                <w:szCs w:val="21"/>
              </w:rPr>
            </w:pPr>
            <w:r w:rsidRPr="00927D14">
              <w:rPr>
                <w:rFonts w:ascii="Times New Roman" w:hAnsi="Times New Roman" w:cs="Times New Roman" w:hint="eastAsia"/>
                <w:szCs w:val="21"/>
              </w:rPr>
              <w:t>涉及钢结构桥梁建设工程的配套定额标准。</w:t>
            </w:r>
          </w:p>
        </w:tc>
      </w:tr>
      <w:tr w:rsidR="000866CC" w:rsidTr="000866CC">
        <w:trPr>
          <w:trHeight w:val="398"/>
          <w:jc w:val="center"/>
        </w:trPr>
        <w:tc>
          <w:tcPr>
            <w:tcW w:w="805" w:type="dxa"/>
            <w:shd w:val="clear" w:color="auto" w:fill="auto"/>
            <w:vAlign w:val="center"/>
          </w:tcPr>
          <w:p w:rsidR="000866CC" w:rsidRDefault="000866CC">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0866CC" w:rsidRDefault="000866CC">
            <w:pPr>
              <w:jc w:val="left"/>
              <w:rPr>
                <w:rFonts w:ascii="Times New Roman" w:hAnsi="Times New Roman" w:cs="Times New Roman"/>
                <w:szCs w:val="21"/>
              </w:rPr>
            </w:pPr>
            <w:r>
              <w:rPr>
                <w:rFonts w:ascii="Times New Roman" w:hAnsi="Times New Roman" w:cs="Times New Roman"/>
                <w:szCs w:val="21"/>
              </w:rPr>
              <w:t>农村公路养护</w:t>
            </w:r>
            <w:r>
              <w:rPr>
                <w:rFonts w:ascii="Times New Roman" w:hAnsi="Times New Roman" w:cs="Times New Roman" w:hint="eastAsia"/>
                <w:szCs w:val="21"/>
              </w:rPr>
              <w:t>预算编制办法及配套定额</w:t>
            </w:r>
          </w:p>
        </w:tc>
        <w:tc>
          <w:tcPr>
            <w:tcW w:w="851" w:type="dxa"/>
            <w:shd w:val="clear" w:color="auto" w:fill="auto"/>
            <w:vAlign w:val="center"/>
          </w:tcPr>
          <w:p w:rsidR="000866CC" w:rsidRDefault="000866CC">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0866CC" w:rsidRPr="00927D14" w:rsidRDefault="000866CC" w:rsidP="00927D14">
            <w:pPr>
              <w:jc w:val="left"/>
              <w:rPr>
                <w:rFonts w:ascii="Times New Roman" w:hAnsi="Times New Roman" w:cs="Times New Roman"/>
                <w:szCs w:val="21"/>
              </w:rPr>
            </w:pPr>
            <w:r w:rsidRPr="000866CC">
              <w:rPr>
                <w:rFonts w:ascii="Times New Roman" w:hAnsi="Times New Roman" w:cs="Times New Roman" w:hint="eastAsia"/>
                <w:szCs w:val="21"/>
              </w:rPr>
              <w:t>明确农村公路养护预算费用组成、费用标准、费用计算方法等，统一农村公路养护作业的主要工作项目，以及所需</w:t>
            </w:r>
            <w:proofErr w:type="gramStart"/>
            <w:r w:rsidRPr="000866CC">
              <w:rPr>
                <w:rFonts w:ascii="Times New Roman" w:hAnsi="Times New Roman" w:cs="Times New Roman" w:hint="eastAsia"/>
                <w:szCs w:val="21"/>
              </w:rPr>
              <w:t>工料机</w:t>
            </w:r>
            <w:proofErr w:type="gramEnd"/>
            <w:r w:rsidRPr="000866CC">
              <w:rPr>
                <w:rFonts w:ascii="Times New Roman" w:hAnsi="Times New Roman" w:cs="Times New Roman" w:hint="eastAsia"/>
                <w:szCs w:val="21"/>
              </w:rPr>
              <w:t>消耗量</w:t>
            </w:r>
            <w:r>
              <w:rPr>
                <w:rFonts w:ascii="Times New Roman" w:hAnsi="Times New Roman" w:cs="Times New Roman" w:hint="eastAsia"/>
                <w:szCs w:val="21"/>
              </w:rPr>
              <w:t>。</w:t>
            </w:r>
          </w:p>
        </w:tc>
      </w:tr>
      <w:tr w:rsidR="00977749" w:rsidTr="000866CC">
        <w:trPr>
          <w:trHeight w:val="398"/>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公路网运行监测技术规范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Default="0071413A">
            <w:pPr>
              <w:rPr>
                <w:rFonts w:ascii="Times New Roman" w:hAnsi="Times New Roman" w:cs="Times New Roman"/>
                <w:color w:val="FF0000"/>
                <w:szCs w:val="21"/>
              </w:rPr>
            </w:pPr>
            <w:r>
              <w:rPr>
                <w:rFonts w:ascii="Times New Roman" w:hAnsi="Times New Roman" w:cs="Times New Roman" w:hint="eastAsia"/>
                <w:szCs w:val="21"/>
              </w:rPr>
              <w:t>结合交通工程及沿线设施，融合“互联网</w:t>
            </w:r>
            <w:r>
              <w:rPr>
                <w:rFonts w:ascii="Times New Roman" w:hAnsi="Times New Roman" w:cs="Times New Roman" w:hint="eastAsia"/>
                <w:szCs w:val="21"/>
              </w:rPr>
              <w:t>+</w:t>
            </w:r>
            <w:r>
              <w:rPr>
                <w:rFonts w:ascii="Times New Roman" w:hAnsi="Times New Roman" w:cs="Times New Roman" w:hint="eastAsia"/>
                <w:szCs w:val="21"/>
              </w:rPr>
              <w:t>”、大数据、</w:t>
            </w:r>
            <w:proofErr w:type="gramStart"/>
            <w:r>
              <w:rPr>
                <w:rFonts w:ascii="Times New Roman" w:hAnsi="Times New Roman" w:cs="Times New Roman" w:hint="eastAsia"/>
                <w:szCs w:val="21"/>
              </w:rPr>
              <w:t>云计算</w:t>
            </w:r>
            <w:proofErr w:type="gramEnd"/>
            <w:r>
              <w:rPr>
                <w:rFonts w:ascii="Times New Roman" w:hAnsi="Times New Roman" w:cs="Times New Roman" w:hint="eastAsia"/>
                <w:szCs w:val="21"/>
              </w:rPr>
              <w:t>等技术，提出公路网运行监测体系的建设要求和使用要求。</w:t>
            </w:r>
          </w:p>
        </w:tc>
      </w:tr>
      <w:tr w:rsidR="00977749" w:rsidTr="000866CC">
        <w:trPr>
          <w:trHeight w:val="383"/>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szCs w:val="21"/>
              </w:rPr>
              <w:t>公路出行信息服务技术规范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F46EA9" w:rsidRPr="00F46EA9" w:rsidRDefault="00F46EA9">
            <w:pPr>
              <w:rPr>
                <w:rFonts w:ascii="Times New Roman" w:hAnsi="Times New Roman" w:cs="Times New Roman"/>
                <w:szCs w:val="21"/>
              </w:rPr>
            </w:pPr>
            <w:r w:rsidRPr="00F46EA9">
              <w:rPr>
                <w:rFonts w:ascii="Times New Roman" w:hAnsi="Times New Roman" w:cs="Times New Roman" w:hint="eastAsia"/>
                <w:szCs w:val="21"/>
              </w:rPr>
              <w:t>提出公路出行所涉及的服务渠道、服务方式、服务流程等</w:t>
            </w:r>
            <w:r>
              <w:rPr>
                <w:rFonts w:ascii="Times New Roman" w:hAnsi="Times New Roman" w:cs="Times New Roman" w:hint="eastAsia"/>
                <w:szCs w:val="21"/>
              </w:rPr>
              <w:t>方面</w:t>
            </w:r>
            <w:r w:rsidRPr="00F46EA9">
              <w:rPr>
                <w:rFonts w:ascii="Times New Roman" w:hAnsi="Times New Roman" w:cs="Times New Roman" w:hint="eastAsia"/>
                <w:szCs w:val="21"/>
              </w:rPr>
              <w:t>的标准和规范。</w:t>
            </w:r>
          </w:p>
        </w:tc>
      </w:tr>
      <w:tr w:rsidR="00977749" w:rsidTr="000866CC">
        <w:trPr>
          <w:trHeight w:val="383"/>
          <w:jc w:val="center"/>
        </w:trPr>
        <w:tc>
          <w:tcPr>
            <w:tcW w:w="805" w:type="dxa"/>
            <w:shd w:val="clear" w:color="auto" w:fill="auto"/>
            <w:vAlign w:val="center"/>
          </w:tcPr>
          <w:p w:rsidR="00977749" w:rsidRDefault="00977749">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977749" w:rsidRDefault="0071413A">
            <w:pPr>
              <w:jc w:val="left"/>
              <w:rPr>
                <w:rFonts w:ascii="Times New Roman" w:hAnsi="Times New Roman" w:cs="Times New Roman"/>
                <w:szCs w:val="21"/>
              </w:rPr>
            </w:pPr>
            <w:r>
              <w:rPr>
                <w:rFonts w:ascii="Times New Roman" w:hAnsi="Times New Roman" w:cs="Times New Roman" w:hint="eastAsia"/>
                <w:szCs w:val="21"/>
              </w:rPr>
              <w:t>公路</w:t>
            </w:r>
            <w:r>
              <w:rPr>
                <w:rFonts w:ascii="Times New Roman" w:hAnsi="Times New Roman" w:cs="Times New Roman"/>
                <w:szCs w:val="21"/>
              </w:rPr>
              <w:t>服务区运营服务规范</w:t>
            </w:r>
          </w:p>
        </w:tc>
        <w:tc>
          <w:tcPr>
            <w:tcW w:w="851" w:type="dxa"/>
            <w:shd w:val="clear" w:color="auto" w:fill="auto"/>
            <w:vAlign w:val="center"/>
          </w:tcPr>
          <w:p w:rsidR="00977749" w:rsidRDefault="0071413A">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977749" w:rsidRPr="00F46EA9" w:rsidRDefault="0071413A" w:rsidP="00554673">
            <w:pPr>
              <w:rPr>
                <w:rFonts w:ascii="Times New Roman" w:hAnsi="Times New Roman" w:cs="Times New Roman"/>
                <w:szCs w:val="21"/>
              </w:rPr>
            </w:pPr>
            <w:r w:rsidRPr="00F46EA9">
              <w:rPr>
                <w:rFonts w:ascii="Times New Roman" w:hAnsi="Times New Roman" w:cs="Times New Roman"/>
                <w:szCs w:val="21"/>
              </w:rPr>
              <w:t>从运营管理、服务要求、基本保障等方面，</w:t>
            </w:r>
            <w:r w:rsidR="00FD2B15">
              <w:rPr>
                <w:rFonts w:ascii="Times New Roman" w:hAnsi="Times New Roman" w:cs="Times New Roman" w:hint="eastAsia"/>
                <w:szCs w:val="21"/>
              </w:rPr>
              <w:t>建立</w:t>
            </w:r>
            <w:r w:rsidR="00554673">
              <w:rPr>
                <w:rFonts w:ascii="Times New Roman" w:hAnsi="Times New Roman" w:cs="Times New Roman" w:hint="eastAsia"/>
                <w:szCs w:val="21"/>
              </w:rPr>
              <w:t>涵盖运营设施、</w:t>
            </w:r>
            <w:r w:rsidRPr="00F46EA9">
              <w:rPr>
                <w:rFonts w:ascii="Times New Roman" w:hAnsi="Times New Roman" w:cs="Times New Roman"/>
                <w:szCs w:val="21"/>
              </w:rPr>
              <w:t>服务质量</w:t>
            </w:r>
            <w:r w:rsidR="00FD2B15">
              <w:rPr>
                <w:rFonts w:ascii="Times New Roman" w:hAnsi="Times New Roman" w:cs="Times New Roman" w:hint="eastAsia"/>
                <w:szCs w:val="21"/>
              </w:rPr>
              <w:t>、</w:t>
            </w:r>
            <w:r w:rsidRPr="00F46EA9">
              <w:rPr>
                <w:rFonts w:ascii="Times New Roman" w:hAnsi="Times New Roman" w:cs="Times New Roman"/>
                <w:szCs w:val="21"/>
              </w:rPr>
              <w:t>运营管理</w:t>
            </w:r>
            <w:r w:rsidR="00FD2B15">
              <w:rPr>
                <w:rFonts w:ascii="Times New Roman" w:hAnsi="Times New Roman" w:cs="Times New Roman" w:hint="eastAsia"/>
                <w:szCs w:val="21"/>
              </w:rPr>
              <w:t>等</w:t>
            </w:r>
            <w:r w:rsidR="00554673">
              <w:rPr>
                <w:rFonts w:ascii="Times New Roman" w:hAnsi="Times New Roman" w:cs="Times New Roman" w:hint="eastAsia"/>
                <w:szCs w:val="21"/>
              </w:rPr>
              <w:t>方面</w:t>
            </w:r>
            <w:r w:rsidR="00554673" w:rsidRPr="00F46EA9">
              <w:rPr>
                <w:rFonts w:ascii="Times New Roman" w:hAnsi="Times New Roman" w:cs="Times New Roman" w:hint="eastAsia"/>
                <w:szCs w:val="21"/>
              </w:rPr>
              <w:t>的标准和规范</w:t>
            </w:r>
            <w:r w:rsidRPr="00F46EA9">
              <w:rPr>
                <w:rFonts w:ascii="Times New Roman" w:hAnsi="Times New Roman" w:cs="Times New Roman"/>
                <w:szCs w:val="21"/>
              </w:rPr>
              <w:t>。</w:t>
            </w:r>
          </w:p>
        </w:tc>
      </w:tr>
      <w:tr w:rsidR="000866CC" w:rsidTr="000866CC">
        <w:trPr>
          <w:trHeight w:val="398"/>
          <w:jc w:val="center"/>
        </w:trPr>
        <w:tc>
          <w:tcPr>
            <w:tcW w:w="805" w:type="dxa"/>
            <w:shd w:val="clear" w:color="auto" w:fill="auto"/>
            <w:vAlign w:val="center"/>
          </w:tcPr>
          <w:p w:rsidR="000866CC" w:rsidRDefault="000866CC">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0866CC" w:rsidRDefault="000866CC">
            <w:pPr>
              <w:jc w:val="left"/>
              <w:rPr>
                <w:rFonts w:ascii="Times New Roman" w:hAnsi="Times New Roman" w:cs="Times New Roman"/>
                <w:szCs w:val="21"/>
              </w:rPr>
            </w:pPr>
            <w:r>
              <w:rPr>
                <w:rFonts w:ascii="Times New Roman" w:hAnsi="Times New Roman" w:cs="Times New Roman"/>
                <w:szCs w:val="21"/>
              </w:rPr>
              <w:t>收费公路移动支付技术规范</w:t>
            </w:r>
          </w:p>
        </w:tc>
        <w:tc>
          <w:tcPr>
            <w:tcW w:w="851" w:type="dxa"/>
            <w:shd w:val="clear" w:color="auto" w:fill="auto"/>
            <w:vAlign w:val="center"/>
          </w:tcPr>
          <w:p w:rsidR="000866CC" w:rsidRDefault="000866CC">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0866CC" w:rsidRDefault="000866CC" w:rsidP="00675EC6">
            <w:pPr>
              <w:rPr>
                <w:rFonts w:ascii="Times New Roman" w:hAnsi="Times New Roman" w:cs="Times New Roman"/>
                <w:szCs w:val="21"/>
              </w:rPr>
            </w:pPr>
            <w:r>
              <w:rPr>
                <w:rFonts w:ascii="Times New Roman" w:hAnsi="Times New Roman" w:cs="Times New Roman" w:hint="eastAsia"/>
                <w:szCs w:val="21"/>
              </w:rPr>
              <w:t>融合移动支付技术与传统车道收费方式，提出系统功能、性能、数据定义及接口、处理流程、安全机制等。</w:t>
            </w:r>
          </w:p>
        </w:tc>
      </w:tr>
      <w:tr w:rsidR="000866CC" w:rsidTr="000866CC">
        <w:trPr>
          <w:trHeight w:val="398"/>
          <w:jc w:val="center"/>
        </w:trPr>
        <w:tc>
          <w:tcPr>
            <w:tcW w:w="805" w:type="dxa"/>
            <w:shd w:val="clear" w:color="auto" w:fill="auto"/>
            <w:vAlign w:val="center"/>
          </w:tcPr>
          <w:p w:rsidR="000866CC" w:rsidRDefault="000866CC">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0866CC" w:rsidRDefault="000866CC" w:rsidP="00675EC6">
            <w:pPr>
              <w:jc w:val="left"/>
              <w:rPr>
                <w:rFonts w:ascii="Times New Roman" w:hAnsi="Times New Roman" w:cs="Times New Roman"/>
                <w:szCs w:val="21"/>
              </w:rPr>
            </w:pPr>
            <w:r>
              <w:rPr>
                <w:rFonts w:ascii="Times New Roman" w:hAnsi="Times New Roman" w:cs="Times New Roman"/>
                <w:szCs w:val="21"/>
              </w:rPr>
              <w:t>收费公路移动支付运营和服务规范</w:t>
            </w:r>
          </w:p>
        </w:tc>
        <w:tc>
          <w:tcPr>
            <w:tcW w:w="851" w:type="dxa"/>
            <w:shd w:val="clear" w:color="auto" w:fill="auto"/>
            <w:vAlign w:val="center"/>
          </w:tcPr>
          <w:p w:rsidR="000866CC" w:rsidRDefault="000866CC" w:rsidP="00675EC6">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0866CC" w:rsidRDefault="000866CC" w:rsidP="00675EC6">
            <w:pPr>
              <w:rPr>
                <w:rFonts w:ascii="Times New Roman" w:hAnsi="Times New Roman" w:cs="Times New Roman"/>
                <w:szCs w:val="21"/>
              </w:rPr>
            </w:pPr>
            <w:r>
              <w:rPr>
                <w:rFonts w:ascii="Times New Roman" w:hAnsi="Times New Roman" w:cs="Times New Roman" w:hint="eastAsia"/>
                <w:szCs w:val="21"/>
              </w:rPr>
              <w:t>提出收费公路移动支付相关的清分结算、联网运行、用户服务等。</w:t>
            </w:r>
          </w:p>
        </w:tc>
      </w:tr>
      <w:tr w:rsidR="000866CC" w:rsidTr="000866CC">
        <w:trPr>
          <w:trHeight w:val="398"/>
          <w:jc w:val="center"/>
        </w:trPr>
        <w:tc>
          <w:tcPr>
            <w:tcW w:w="805" w:type="dxa"/>
            <w:shd w:val="clear" w:color="auto" w:fill="auto"/>
            <w:vAlign w:val="center"/>
          </w:tcPr>
          <w:p w:rsidR="000866CC" w:rsidRDefault="000866CC">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0866CC" w:rsidRDefault="000866CC">
            <w:pPr>
              <w:jc w:val="left"/>
              <w:rPr>
                <w:rFonts w:ascii="Times New Roman" w:hAnsi="Times New Roman" w:cs="Times New Roman"/>
                <w:szCs w:val="21"/>
              </w:rPr>
            </w:pPr>
            <w:r>
              <w:rPr>
                <w:rFonts w:ascii="Times New Roman" w:hAnsi="Times New Roman" w:cs="Times New Roman"/>
                <w:szCs w:val="21"/>
              </w:rPr>
              <w:t>公路网管理平台技术规范</w:t>
            </w:r>
          </w:p>
        </w:tc>
        <w:tc>
          <w:tcPr>
            <w:tcW w:w="851" w:type="dxa"/>
            <w:shd w:val="clear" w:color="auto" w:fill="auto"/>
            <w:vAlign w:val="center"/>
          </w:tcPr>
          <w:p w:rsidR="000866CC" w:rsidRDefault="000866CC">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0866CC" w:rsidRDefault="000866CC">
            <w:pPr>
              <w:rPr>
                <w:rFonts w:ascii="Times New Roman" w:hAnsi="Times New Roman" w:cs="Times New Roman"/>
                <w:szCs w:val="21"/>
              </w:rPr>
            </w:pPr>
            <w:r>
              <w:rPr>
                <w:rFonts w:ascii="Times New Roman" w:hAnsi="Times New Roman" w:cs="Times New Roman" w:hint="eastAsia"/>
                <w:szCs w:val="21"/>
              </w:rPr>
              <w:t>在各公路相关业务信息系统的基础上，提出公路管理平台的基本架构、数据接入要求和数据接口要求，确定基本功能要求和联网要求。</w:t>
            </w:r>
          </w:p>
        </w:tc>
      </w:tr>
      <w:tr w:rsidR="000866CC" w:rsidTr="000866CC">
        <w:trPr>
          <w:trHeight w:val="398"/>
          <w:jc w:val="center"/>
        </w:trPr>
        <w:tc>
          <w:tcPr>
            <w:tcW w:w="805" w:type="dxa"/>
            <w:shd w:val="clear" w:color="auto" w:fill="auto"/>
            <w:vAlign w:val="center"/>
          </w:tcPr>
          <w:p w:rsidR="000866CC" w:rsidRDefault="000866CC">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0866CC" w:rsidRDefault="000866CC">
            <w:pPr>
              <w:jc w:val="left"/>
              <w:rPr>
                <w:rFonts w:ascii="Times New Roman" w:hAnsi="Times New Roman" w:cs="Times New Roman"/>
                <w:szCs w:val="21"/>
              </w:rPr>
            </w:pPr>
            <w:r>
              <w:rPr>
                <w:rFonts w:ascii="Times New Roman" w:hAnsi="Times New Roman" w:cs="Times New Roman"/>
                <w:szCs w:val="21"/>
              </w:rPr>
              <w:t>公路交通应急处置技术规范</w:t>
            </w:r>
          </w:p>
        </w:tc>
        <w:tc>
          <w:tcPr>
            <w:tcW w:w="851" w:type="dxa"/>
            <w:shd w:val="clear" w:color="auto" w:fill="auto"/>
            <w:vAlign w:val="center"/>
          </w:tcPr>
          <w:p w:rsidR="000866CC" w:rsidRDefault="000866CC">
            <w:pPr>
              <w:jc w:val="center"/>
              <w:rPr>
                <w:rFonts w:ascii="Times New Roman" w:hAnsi="Times New Roman" w:cs="Times New Roman"/>
                <w:szCs w:val="21"/>
              </w:rPr>
            </w:pPr>
            <w:r>
              <w:rPr>
                <w:rFonts w:ascii="Times New Roman" w:hAnsi="Times New Roman" w:cs="Times New Roman"/>
                <w:szCs w:val="21"/>
              </w:rPr>
              <w:t>制订</w:t>
            </w:r>
          </w:p>
        </w:tc>
        <w:tc>
          <w:tcPr>
            <w:tcW w:w="4019" w:type="dxa"/>
            <w:shd w:val="clear" w:color="auto" w:fill="auto"/>
            <w:vAlign w:val="center"/>
          </w:tcPr>
          <w:p w:rsidR="000866CC" w:rsidRDefault="000866CC">
            <w:pPr>
              <w:rPr>
                <w:rFonts w:ascii="Times New Roman" w:hAnsi="Times New Roman" w:cs="Times New Roman"/>
                <w:szCs w:val="21"/>
              </w:rPr>
            </w:pPr>
            <w:r>
              <w:rPr>
                <w:rFonts w:ascii="Times New Roman" w:hAnsi="Times New Roman" w:cs="Times New Roman" w:hint="eastAsia"/>
                <w:szCs w:val="21"/>
              </w:rPr>
              <w:t>提出突发事件导致公路交通阻断情况下的指挥调度和基础设施抢通等应急处置技术措施。</w:t>
            </w:r>
          </w:p>
        </w:tc>
      </w:tr>
      <w:tr w:rsidR="000866CC" w:rsidTr="000866CC">
        <w:trPr>
          <w:trHeight w:val="398"/>
          <w:jc w:val="center"/>
        </w:trPr>
        <w:tc>
          <w:tcPr>
            <w:tcW w:w="805" w:type="dxa"/>
            <w:shd w:val="clear" w:color="auto" w:fill="auto"/>
            <w:vAlign w:val="center"/>
          </w:tcPr>
          <w:p w:rsidR="000866CC" w:rsidRDefault="000866CC">
            <w:pPr>
              <w:pStyle w:val="1"/>
              <w:numPr>
                <w:ilvl w:val="0"/>
                <w:numId w:val="1"/>
              </w:numPr>
              <w:ind w:firstLineChars="0"/>
              <w:jc w:val="center"/>
              <w:rPr>
                <w:rFonts w:ascii="Times New Roman" w:hAnsi="Times New Roman" w:cs="Times New Roman"/>
                <w:szCs w:val="21"/>
              </w:rPr>
            </w:pPr>
          </w:p>
        </w:tc>
        <w:tc>
          <w:tcPr>
            <w:tcW w:w="3391" w:type="dxa"/>
            <w:shd w:val="clear" w:color="auto" w:fill="auto"/>
            <w:vAlign w:val="center"/>
          </w:tcPr>
          <w:p w:rsidR="000866CC" w:rsidRDefault="000866CC">
            <w:pPr>
              <w:jc w:val="left"/>
              <w:rPr>
                <w:rFonts w:ascii="Times New Roman" w:hAnsi="Times New Roman" w:cs="Times New Roman"/>
                <w:szCs w:val="21"/>
              </w:rPr>
            </w:pPr>
            <w:r>
              <w:rPr>
                <w:rFonts w:ascii="Times New Roman" w:hAnsi="Times New Roman" w:cs="Times New Roman"/>
                <w:szCs w:val="21"/>
              </w:rPr>
              <w:t>其他</w:t>
            </w:r>
          </w:p>
        </w:tc>
        <w:tc>
          <w:tcPr>
            <w:tcW w:w="851" w:type="dxa"/>
            <w:shd w:val="clear" w:color="auto" w:fill="auto"/>
            <w:vAlign w:val="center"/>
          </w:tcPr>
          <w:p w:rsidR="000866CC" w:rsidRDefault="000866CC">
            <w:pPr>
              <w:jc w:val="center"/>
              <w:rPr>
                <w:rFonts w:ascii="Times New Roman" w:hAnsi="Times New Roman" w:cs="Times New Roman"/>
                <w:szCs w:val="21"/>
              </w:rPr>
            </w:pPr>
          </w:p>
        </w:tc>
        <w:tc>
          <w:tcPr>
            <w:tcW w:w="4019" w:type="dxa"/>
            <w:shd w:val="clear" w:color="auto" w:fill="auto"/>
            <w:vAlign w:val="center"/>
          </w:tcPr>
          <w:p w:rsidR="000866CC" w:rsidRDefault="000866CC">
            <w:pPr>
              <w:rPr>
                <w:rFonts w:ascii="Times New Roman" w:hAnsi="Times New Roman" w:cs="Times New Roman"/>
                <w:szCs w:val="21"/>
              </w:rPr>
            </w:pPr>
            <w:r>
              <w:rPr>
                <w:rFonts w:ascii="Times New Roman" w:hAnsi="Times New Roman" w:cs="Times New Roman" w:hint="eastAsia"/>
                <w:szCs w:val="21"/>
              </w:rPr>
              <w:t>除上述项目外，认为确需纳入</w:t>
            </w:r>
            <w:r>
              <w:rPr>
                <w:rFonts w:ascii="Times New Roman" w:hAnsi="Times New Roman" w:cs="Times New Roman" w:hint="eastAsia"/>
                <w:szCs w:val="21"/>
              </w:rPr>
              <w:t>2018</w:t>
            </w:r>
            <w:r>
              <w:rPr>
                <w:rFonts w:ascii="Times New Roman" w:hAnsi="Times New Roman" w:cs="Times New Roman" w:hint="eastAsia"/>
                <w:szCs w:val="21"/>
              </w:rPr>
              <w:t>年立项计划且条件成熟的项目。</w:t>
            </w:r>
          </w:p>
        </w:tc>
      </w:tr>
    </w:tbl>
    <w:p w:rsidR="00977749" w:rsidRDefault="00977749"/>
    <w:sectPr w:rsidR="009777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CB" w:rsidRDefault="00025ACB" w:rsidP="00927D14">
      <w:r>
        <w:separator/>
      </w:r>
    </w:p>
  </w:endnote>
  <w:endnote w:type="continuationSeparator" w:id="0">
    <w:p w:rsidR="00025ACB" w:rsidRDefault="00025ACB" w:rsidP="0092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CB" w:rsidRDefault="00025ACB" w:rsidP="00927D14">
      <w:r>
        <w:separator/>
      </w:r>
    </w:p>
  </w:footnote>
  <w:footnote w:type="continuationSeparator" w:id="0">
    <w:p w:rsidR="00025ACB" w:rsidRDefault="00025ACB" w:rsidP="00927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55B5"/>
    <w:multiLevelType w:val="multilevel"/>
    <w:tmpl w:val="0F4155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21"/>
    <w:rsid w:val="00025ACB"/>
    <w:rsid w:val="00041694"/>
    <w:rsid w:val="00045879"/>
    <w:rsid w:val="00053E92"/>
    <w:rsid w:val="000866CC"/>
    <w:rsid w:val="000A4B44"/>
    <w:rsid w:val="000B1972"/>
    <w:rsid w:val="000C237C"/>
    <w:rsid w:val="000F4B77"/>
    <w:rsid w:val="000F7E27"/>
    <w:rsid w:val="001105F2"/>
    <w:rsid w:val="00153373"/>
    <w:rsid w:val="0016045C"/>
    <w:rsid w:val="001871A4"/>
    <w:rsid w:val="00192463"/>
    <w:rsid w:val="001944C8"/>
    <w:rsid w:val="001A0B63"/>
    <w:rsid w:val="001C08BA"/>
    <w:rsid w:val="001D183F"/>
    <w:rsid w:val="001D58E4"/>
    <w:rsid w:val="001E36DF"/>
    <w:rsid w:val="001E3E8A"/>
    <w:rsid w:val="002471E5"/>
    <w:rsid w:val="00293230"/>
    <w:rsid w:val="002A1352"/>
    <w:rsid w:val="002B08E0"/>
    <w:rsid w:val="002D0905"/>
    <w:rsid w:val="002F1FB7"/>
    <w:rsid w:val="00313E01"/>
    <w:rsid w:val="00325EB6"/>
    <w:rsid w:val="003436CC"/>
    <w:rsid w:val="00364AA7"/>
    <w:rsid w:val="003661C7"/>
    <w:rsid w:val="00374B3F"/>
    <w:rsid w:val="003859C5"/>
    <w:rsid w:val="003E1F23"/>
    <w:rsid w:val="003F2792"/>
    <w:rsid w:val="003F4C85"/>
    <w:rsid w:val="00401873"/>
    <w:rsid w:val="00402657"/>
    <w:rsid w:val="0040451D"/>
    <w:rsid w:val="00434B06"/>
    <w:rsid w:val="0043511A"/>
    <w:rsid w:val="00436F9B"/>
    <w:rsid w:val="00447DE5"/>
    <w:rsid w:val="0045631B"/>
    <w:rsid w:val="004662C4"/>
    <w:rsid w:val="0048304C"/>
    <w:rsid w:val="004A10DA"/>
    <w:rsid w:val="004A250F"/>
    <w:rsid w:val="004B3639"/>
    <w:rsid w:val="004B7EC6"/>
    <w:rsid w:val="004C3816"/>
    <w:rsid w:val="004D4DF1"/>
    <w:rsid w:val="0050633C"/>
    <w:rsid w:val="00531404"/>
    <w:rsid w:val="00535453"/>
    <w:rsid w:val="00550978"/>
    <w:rsid w:val="00554673"/>
    <w:rsid w:val="00564CFE"/>
    <w:rsid w:val="00580D21"/>
    <w:rsid w:val="005871A2"/>
    <w:rsid w:val="00593CE0"/>
    <w:rsid w:val="005B05FA"/>
    <w:rsid w:val="005E593D"/>
    <w:rsid w:val="0061149B"/>
    <w:rsid w:val="00615917"/>
    <w:rsid w:val="00646B6A"/>
    <w:rsid w:val="0066260A"/>
    <w:rsid w:val="00675EAF"/>
    <w:rsid w:val="00693B31"/>
    <w:rsid w:val="006A4893"/>
    <w:rsid w:val="006A4968"/>
    <w:rsid w:val="006B273A"/>
    <w:rsid w:val="006E213A"/>
    <w:rsid w:val="006F524F"/>
    <w:rsid w:val="007034CB"/>
    <w:rsid w:val="00712C4A"/>
    <w:rsid w:val="0071413A"/>
    <w:rsid w:val="0074761D"/>
    <w:rsid w:val="007527A8"/>
    <w:rsid w:val="0076041C"/>
    <w:rsid w:val="00781386"/>
    <w:rsid w:val="00797AAA"/>
    <w:rsid w:val="007C7F3A"/>
    <w:rsid w:val="007E73E6"/>
    <w:rsid w:val="007F0E18"/>
    <w:rsid w:val="007F777D"/>
    <w:rsid w:val="00807FFA"/>
    <w:rsid w:val="008401F3"/>
    <w:rsid w:val="00844224"/>
    <w:rsid w:val="008672D0"/>
    <w:rsid w:val="00867EEE"/>
    <w:rsid w:val="0089333A"/>
    <w:rsid w:val="00895673"/>
    <w:rsid w:val="008B1796"/>
    <w:rsid w:val="008D4344"/>
    <w:rsid w:val="008F3B2F"/>
    <w:rsid w:val="00916B81"/>
    <w:rsid w:val="009245AC"/>
    <w:rsid w:val="00927D14"/>
    <w:rsid w:val="00951B99"/>
    <w:rsid w:val="00977749"/>
    <w:rsid w:val="009C0140"/>
    <w:rsid w:val="009E062F"/>
    <w:rsid w:val="009E4BBC"/>
    <w:rsid w:val="009F2EC2"/>
    <w:rsid w:val="009F7064"/>
    <w:rsid w:val="00A03523"/>
    <w:rsid w:val="00A22582"/>
    <w:rsid w:val="00A307CE"/>
    <w:rsid w:val="00A362C7"/>
    <w:rsid w:val="00A5784D"/>
    <w:rsid w:val="00A733AA"/>
    <w:rsid w:val="00A85517"/>
    <w:rsid w:val="00A85D91"/>
    <w:rsid w:val="00AA69EB"/>
    <w:rsid w:val="00AC4F46"/>
    <w:rsid w:val="00AE0D7E"/>
    <w:rsid w:val="00AE48AC"/>
    <w:rsid w:val="00B02C34"/>
    <w:rsid w:val="00B25061"/>
    <w:rsid w:val="00B30681"/>
    <w:rsid w:val="00B45CA4"/>
    <w:rsid w:val="00B567F8"/>
    <w:rsid w:val="00B76537"/>
    <w:rsid w:val="00C061FA"/>
    <w:rsid w:val="00C078E9"/>
    <w:rsid w:val="00C37EA3"/>
    <w:rsid w:val="00C63010"/>
    <w:rsid w:val="00CA0D45"/>
    <w:rsid w:val="00CD74B4"/>
    <w:rsid w:val="00CE16EA"/>
    <w:rsid w:val="00CF5464"/>
    <w:rsid w:val="00D03BBD"/>
    <w:rsid w:val="00D2539A"/>
    <w:rsid w:val="00DA3001"/>
    <w:rsid w:val="00DB5F23"/>
    <w:rsid w:val="00DD1E76"/>
    <w:rsid w:val="00E05E0F"/>
    <w:rsid w:val="00E33121"/>
    <w:rsid w:val="00E3359A"/>
    <w:rsid w:val="00E5333F"/>
    <w:rsid w:val="00E6335E"/>
    <w:rsid w:val="00EA074D"/>
    <w:rsid w:val="00ED0B10"/>
    <w:rsid w:val="00ED38D4"/>
    <w:rsid w:val="00F4066E"/>
    <w:rsid w:val="00F46EA9"/>
    <w:rsid w:val="00F9316F"/>
    <w:rsid w:val="00F934CB"/>
    <w:rsid w:val="00FB174A"/>
    <w:rsid w:val="00FC37BE"/>
    <w:rsid w:val="00FD2B15"/>
    <w:rsid w:val="00FF0D37"/>
    <w:rsid w:val="01624F25"/>
    <w:rsid w:val="0277477B"/>
    <w:rsid w:val="028C3940"/>
    <w:rsid w:val="02C81833"/>
    <w:rsid w:val="06A33088"/>
    <w:rsid w:val="075A1F49"/>
    <w:rsid w:val="07A3594A"/>
    <w:rsid w:val="087F6A12"/>
    <w:rsid w:val="0AA67F38"/>
    <w:rsid w:val="131D10EC"/>
    <w:rsid w:val="133860C8"/>
    <w:rsid w:val="13A93E6A"/>
    <w:rsid w:val="166E2683"/>
    <w:rsid w:val="1AC95223"/>
    <w:rsid w:val="1AFC0DB6"/>
    <w:rsid w:val="1F1F3EAC"/>
    <w:rsid w:val="1F5E45CC"/>
    <w:rsid w:val="230C7672"/>
    <w:rsid w:val="256F78B8"/>
    <w:rsid w:val="26D02C43"/>
    <w:rsid w:val="2792757C"/>
    <w:rsid w:val="31C762CE"/>
    <w:rsid w:val="3356512E"/>
    <w:rsid w:val="340D5B1D"/>
    <w:rsid w:val="387732A6"/>
    <w:rsid w:val="3EF70D05"/>
    <w:rsid w:val="413F2700"/>
    <w:rsid w:val="426623BD"/>
    <w:rsid w:val="42950497"/>
    <w:rsid w:val="465833F5"/>
    <w:rsid w:val="471F3207"/>
    <w:rsid w:val="494F5200"/>
    <w:rsid w:val="4CD57D2F"/>
    <w:rsid w:val="51A42AB7"/>
    <w:rsid w:val="51E35E20"/>
    <w:rsid w:val="569E3DA0"/>
    <w:rsid w:val="59AE6D41"/>
    <w:rsid w:val="5BE65B4E"/>
    <w:rsid w:val="61873F57"/>
    <w:rsid w:val="62010A40"/>
    <w:rsid w:val="62177621"/>
    <w:rsid w:val="65436E5C"/>
    <w:rsid w:val="69484C7D"/>
    <w:rsid w:val="701A7F3F"/>
    <w:rsid w:val="722B18F1"/>
    <w:rsid w:val="78E86AB1"/>
    <w:rsid w:val="7B79451C"/>
    <w:rsid w:val="7BFF7C6C"/>
    <w:rsid w:val="7EC8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1">
    <w:name w:val="批注框文本 Char"/>
    <w:basedOn w:val="a0"/>
    <w:link w:val="a5"/>
    <w:uiPriority w:val="99"/>
    <w:semiHidden/>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1">
    <w:name w:val="批注框文本 Char"/>
    <w:basedOn w:val="a0"/>
    <w:link w:val="a5"/>
    <w:uiPriority w:val="99"/>
    <w:semiHidden/>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018962">
      <w:bodyDiv w:val="1"/>
      <w:marLeft w:val="0"/>
      <w:marRight w:val="0"/>
      <w:marTop w:val="0"/>
      <w:marBottom w:val="0"/>
      <w:divBdr>
        <w:top w:val="none" w:sz="0" w:space="0" w:color="auto"/>
        <w:left w:val="none" w:sz="0" w:space="0" w:color="auto"/>
        <w:bottom w:val="none" w:sz="0" w:space="0" w:color="auto"/>
        <w:right w:val="none" w:sz="0" w:space="0" w:color="auto"/>
      </w:divBdr>
      <w:divsChild>
        <w:div w:id="1387219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Room410</dc:creator>
  <cp:lastModifiedBy>han</cp:lastModifiedBy>
  <cp:revision>8</cp:revision>
  <cp:lastPrinted>2017-05-12T08:53:00Z</cp:lastPrinted>
  <dcterms:created xsi:type="dcterms:W3CDTF">2017-05-24T08:22:00Z</dcterms:created>
  <dcterms:modified xsi:type="dcterms:W3CDTF">2017-05-25T02:01:00Z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